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562" w:hanging="562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采购需求内容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（一）项目概况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>在面对现在越来越严重的网络安全态势下，内蒙古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>博物院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>枳极响应国家相关政策法规，积极开展网络安全建设及信息安全等级保护建设。对自有网络安全态势进行自我核査，补齐等保短板，履行安全保护义务。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>依据GB/T28448-2019 信息安全技术 网络安全等级保护测评要求，现决定采购相关安全服务。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（二）项目所属年度：</w:t>
      </w:r>
      <w:r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>2023-2024</w:t>
      </w:r>
      <w:r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年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（三）项目所属分类：□货物 </w:t>
      </w:r>
      <w:r>
        <w:rPr>
          <w:rFonts w:ascii="Segoe UI Symbol" w:hAnsi="Segoe UI Symbol" w:eastAsia="宋体" w:cs="Segoe UI Symbol"/>
          <w:color w:val="000000"/>
          <w:kern w:val="0"/>
          <w:sz w:val="24"/>
          <w:lang w:bidi="ar"/>
        </w:rPr>
        <w:t>☑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服务 □工程 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（四）预算金额（元）：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>130000.00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大写(人民币)：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壹拾叁万元整 </w:t>
      </w:r>
      <w:r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（五）需满足的政府采购政策目标 </w:t>
      </w:r>
    </w:p>
    <w:p>
      <w:pPr>
        <w:widowControl/>
        <w:ind w:left="479" w:leftChars="114" w:hanging="240" w:hangingChars="1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□支持创新             □支持绿色发展 </w:t>
      </w:r>
    </w:p>
    <w:p>
      <w:pPr>
        <w:widowControl/>
        <w:ind w:left="479" w:leftChars="114" w:hanging="240" w:hangingChars="1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□支持中小企业发展     </w:t>
      </w:r>
      <w:r>
        <w:rPr>
          <w:rFonts w:ascii="Segoe UI Symbol" w:hAnsi="Segoe UI Symbol" w:eastAsia="宋体" w:cs="Segoe UI Symbol"/>
          <w:color w:val="000000"/>
          <w:kern w:val="0"/>
          <w:sz w:val="24"/>
          <w:lang w:bidi="ar"/>
        </w:rPr>
        <w:t>☑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其他（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>网络安全等级保护测评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 w:bidi="ar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） 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（六）采购标的是否包含进口产品： □包含    </w:t>
      </w:r>
      <w:r>
        <w:rPr>
          <w:rFonts w:ascii="Segoe UI Symbol" w:hAnsi="Segoe UI Symbol" w:eastAsia="宋体" w:cs="Segoe UI Symbol"/>
          <w:color w:val="000000"/>
          <w:kern w:val="0"/>
          <w:sz w:val="24"/>
          <w:lang w:bidi="ar"/>
        </w:rPr>
        <w:t>☑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不包含 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（七）拟采购标的的技术要求</w:t>
      </w:r>
    </w:p>
    <w:p>
      <w:pPr>
        <w:widowControl/>
        <w:ind w:left="480" w:hanging="480" w:hanging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拟采购标的（1）</w:t>
      </w:r>
    </w:p>
    <w:tbl>
      <w:tblPr>
        <w:tblStyle w:val="19"/>
        <w:tblW w:w="96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53"/>
        <w:gridCol w:w="2415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</w:t>
            </w:r>
          </w:p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的</w:t>
            </w:r>
          </w:p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</w:t>
            </w:r>
          </w:p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容</w:t>
            </w:r>
          </w:p>
        </w:tc>
        <w:tc>
          <w:tcPr>
            <w:tcW w:w="8277" w:type="dxa"/>
            <w:gridSpan w:val="3"/>
          </w:tcPr>
          <w:p>
            <w:pPr>
              <w:widowControl/>
              <w:spacing w:line="360" w:lineRule="exact"/>
              <w:ind w:left="420" w:hanging="420" w:hanging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内蒙古博物院网络安全服务采购项目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18" w:type="dxa"/>
          </w:tcPr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853" w:type="dxa"/>
          </w:tcPr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15" w:type="dxa"/>
          </w:tcPr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09" w:type="dxa"/>
          </w:tcPr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418" w:type="dxa"/>
          </w:tcPr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功能和质量</w:t>
            </w:r>
          </w:p>
          <w:p>
            <w:pPr>
              <w:widowControl/>
              <w:spacing w:line="360" w:lineRule="exact"/>
              <w:ind w:left="420" w:hanging="420" w:hangingChars="2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要求 </w:t>
            </w:r>
          </w:p>
        </w:tc>
        <w:tc>
          <w:tcPr>
            <w:tcW w:w="8277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渗透测试服务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1、按照等级保护测评工作的要求，提供每年不少于2次渗透测试服务，以等保三级相关测评要求为标准，对博物院整体网络环境渗透测试，渗透范围不限于应用系统和网络设备。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根据测试结果，协助博物院进行整改，并对整改结果进行测试。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政策要求：满足GB/T 28448-2019 信息安全技术 网络安全等级保护测评中8.1.4.4 入侵防范要求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漏洞扫描服务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通过每年不少于4次的漏洞扫描服务发现网内服务器可能存在的已知漏洞，经过验证确定存在后，协助博物院及时修补漏洞，修补升级工作后再次进行扫描。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政策要求：满足GB/T 28448-2019 信息安全技术 网络安全等级保护测评要求中8.1.10 安全运维管理8.1.10.5 漏洞和风险管理要求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安全培训服务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以等保三级相关要求为基础，提供每年不少于2次的安全知识、安全基础、安全意识培训，提高整体网络安全水平。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政策要求：满足GB/T 28448-2019 信息安全技术 网络安全等级保护测评要求中8.1.8.3 安全意识教育和培训要求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网络安全应急演练服务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以等保三级相关要求为基础，配合博物院每年开展不少于2次的网络安全应急演练，进一步提高整体网络针对突发安全事件的紧急处置能力。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政策要求：满足GB/T 28448-2019 信息安全技术 网络安全等级保护测评要求中8.1.10.13 应急预案管理要求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安全保障服务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1、针对博物院网内网络信息安全事件提供7*24*365快速响应服务/4小时内响应。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2、在各法定节假日、重要活动和上级要求的保障时期提供电话和网络远程7*24 小时安全保障服务（包括不限于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：人工远程值守、智能工具信息研判、突发事件现场应急排查）。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3、特殊情况（含业务不能停机）可提供7*24小时注册信息安全专业人员（CISP）驻场服务。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4、提供网络安全相关的各类风险事件预警服务。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政策要求：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满足GB/T 28448-2019 信息安全技术 网络安全等级保护测评要求中8.1.10.13 应急预案管理要求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5E627"/>
    <w:multiLevelType w:val="singleLevel"/>
    <w:tmpl w:val="9625E6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TUzMGU2NTU0NDg4NDkxODI3Mzk5MTczZjEwYjAifQ=="/>
    <w:docVar w:name="KSO_WPS_MARK_KEY" w:val="6592048f-8301-4f81-ba69-790f153c3533"/>
  </w:docVars>
  <w:rsids>
    <w:rsidRoot w:val="00887E7E"/>
    <w:rsid w:val="003063CA"/>
    <w:rsid w:val="005D71E7"/>
    <w:rsid w:val="00887E7E"/>
    <w:rsid w:val="00D93A5E"/>
    <w:rsid w:val="00E8416F"/>
    <w:rsid w:val="00FB1E31"/>
    <w:rsid w:val="03D415D3"/>
    <w:rsid w:val="116618E3"/>
    <w:rsid w:val="1E78734E"/>
    <w:rsid w:val="35977693"/>
    <w:rsid w:val="379876F3"/>
    <w:rsid w:val="3DF80EEB"/>
    <w:rsid w:val="46750B26"/>
    <w:rsid w:val="4BC3782E"/>
    <w:rsid w:val="564E5572"/>
    <w:rsid w:val="6755755D"/>
    <w:rsid w:val="705756BD"/>
    <w:rsid w:val="73F60124"/>
    <w:rsid w:val="79D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10">
    <w:name w:val="Date"/>
    <w:basedOn w:val="1"/>
    <w:next w:val="1"/>
    <w:link w:val="27"/>
    <w:unhideWhenUsed/>
    <w:qFormat/>
    <w:uiPriority w:val="99"/>
    <w:pPr>
      <w:ind w:left="100" w:leftChars="2500"/>
    </w:pPr>
    <w:rPr>
      <w:szCs w:val="22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7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2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4 字符"/>
    <w:basedOn w:val="20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页眉 字符"/>
    <w:basedOn w:val="20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字符"/>
    <w:basedOn w:val="20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日期 字符"/>
    <w:basedOn w:val="2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1163</Characters>
  <Lines>15</Lines>
  <Paragraphs>4</Paragraphs>
  <TotalTime>3</TotalTime>
  <ScaleCrop>false</ScaleCrop>
  <LinksUpToDate>false</LinksUpToDate>
  <CharactersWithSpaces>1237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2022-02-11T03:34:00Z</dcterms:created>
  <dc:creator>Administrator</dc:creator>
  <cp:lastModifiedBy>杀死乐</cp:lastModifiedBy>
  <cp:lastPrinted>2023-03-23T08:37:00Z</cp:lastPrinted>
  <dcterms:modified xsi:type="dcterms:W3CDTF">2023-03-24T01:12:17Z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11CB24A94DA341CBAD95D35DE2F2C482</vt:lpwstr>
  </property>
</Properties>
</file>